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 СЕЛЬСКОГО  ПОСЕЛЕНИЯ</w:t>
      </w:r>
    </w:p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493F13" w:rsidRDefault="00493F13" w:rsidP="00493F13">
      <w:pPr>
        <w:rPr>
          <w:sz w:val="28"/>
          <w:szCs w:val="28"/>
        </w:rPr>
      </w:pPr>
    </w:p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3F13" w:rsidRDefault="00493F13" w:rsidP="00493F13">
      <w:pPr>
        <w:rPr>
          <w:b/>
          <w:sz w:val="28"/>
          <w:szCs w:val="28"/>
        </w:rPr>
      </w:pPr>
    </w:p>
    <w:p w:rsidR="00493F13" w:rsidRDefault="00CD604C" w:rsidP="00493F13">
      <w:pPr>
        <w:rPr>
          <w:sz w:val="28"/>
          <w:szCs w:val="28"/>
        </w:rPr>
      </w:pPr>
      <w:r>
        <w:rPr>
          <w:sz w:val="28"/>
          <w:szCs w:val="28"/>
        </w:rPr>
        <w:t>25.02.2022</w:t>
      </w:r>
      <w:r w:rsidR="00493F1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11</w:t>
      </w:r>
    </w:p>
    <w:p w:rsidR="00493F13" w:rsidRDefault="00493F13" w:rsidP="00493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Большой </w:t>
      </w:r>
      <w:proofErr w:type="spellStart"/>
      <w:r>
        <w:rPr>
          <w:sz w:val="28"/>
          <w:szCs w:val="28"/>
        </w:rPr>
        <w:t>Китяк</w:t>
      </w:r>
      <w:proofErr w:type="spellEnd"/>
    </w:p>
    <w:p w:rsidR="00493F13" w:rsidRDefault="00493F13" w:rsidP="00493F13">
      <w:pPr>
        <w:jc w:val="center"/>
        <w:rPr>
          <w:sz w:val="28"/>
          <w:szCs w:val="28"/>
        </w:rPr>
      </w:pPr>
    </w:p>
    <w:p w:rsidR="00493F13" w:rsidRDefault="00493F13" w:rsidP="00493F13">
      <w:pPr>
        <w:jc w:val="center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местных нормативов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Большекитякского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и внесения в них изменений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bCs/>
          <w:sz w:val="28"/>
          <w:szCs w:val="28"/>
        </w:rPr>
        <w:t>Большекитякское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Малмыжского</w:t>
      </w:r>
      <w:proofErr w:type="spellEnd"/>
      <w:r>
        <w:rPr>
          <w:bCs/>
          <w:sz w:val="28"/>
          <w:szCs w:val="28"/>
        </w:rPr>
        <w:t xml:space="preserve"> муниципального района Кировской области  администрация </w:t>
      </w:r>
      <w:proofErr w:type="spellStart"/>
      <w:r>
        <w:rPr>
          <w:bCs/>
          <w:sz w:val="28"/>
          <w:szCs w:val="28"/>
        </w:rPr>
        <w:t>Большекитякского</w:t>
      </w:r>
      <w:proofErr w:type="spellEnd"/>
      <w:r>
        <w:rPr>
          <w:bCs/>
          <w:sz w:val="28"/>
          <w:szCs w:val="28"/>
        </w:rPr>
        <w:t xml:space="preserve"> сельского поселения ПОСТАНОВЛЯЕТ: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(далее – местные нормативы). Прилагаются.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области: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утверждения настоящего постановления.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B0" w:rsidRDefault="003C4AB0" w:rsidP="003C4AB0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4AB0" w:rsidRDefault="003C4AB0" w:rsidP="003C4AB0">
      <w:pPr>
        <w:widowControl w:val="0"/>
        <w:tabs>
          <w:tab w:val="right" w:pos="9400"/>
        </w:tabs>
        <w:autoSpaceDE w:val="0"/>
        <w:autoSpaceDN w:val="0"/>
        <w:adjustRightInd w:val="0"/>
        <w:jc w:val="both"/>
      </w:pP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</w:t>
      </w:r>
      <w:bookmarkStart w:id="0" w:name="Par24"/>
      <w:bookmarkEnd w:id="0"/>
      <w:r>
        <w:rPr>
          <w:sz w:val="28"/>
          <w:szCs w:val="28"/>
        </w:rPr>
        <w:t xml:space="preserve">   </w:t>
      </w:r>
      <w:r w:rsidR="00CD604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В.С. Майоров</w:t>
      </w:r>
    </w:p>
    <w:p w:rsidR="003C4AB0" w:rsidRDefault="003C4AB0" w:rsidP="003C4AB0">
      <w:pPr>
        <w:spacing w:line="360" w:lineRule="auto"/>
        <w:rPr>
          <w:sz w:val="28"/>
        </w:rPr>
        <w:sectPr w:rsidR="003C4AB0">
          <w:pgSz w:w="11905" w:h="16838"/>
          <w:pgMar w:top="676" w:right="851" w:bottom="851" w:left="1701" w:header="720" w:footer="720" w:gutter="0"/>
          <w:cols w:space="720"/>
        </w:sectPr>
      </w:pPr>
    </w:p>
    <w:p w:rsidR="003C4AB0" w:rsidRDefault="003C4AB0" w:rsidP="003C4AB0">
      <w:pPr>
        <w:pStyle w:val="2"/>
        <w:spacing w:line="360" w:lineRule="auto"/>
        <w:ind w:left="5100"/>
      </w:pPr>
      <w:r>
        <w:lastRenderedPageBreak/>
        <w:t>Приложение</w:t>
      </w:r>
    </w:p>
    <w:p w:rsidR="003C4AB0" w:rsidRDefault="003C4AB0" w:rsidP="003C4AB0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>УТВЕРЖДЕНЫ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от 25.02.2022  № 11</w:t>
      </w:r>
    </w:p>
    <w:p w:rsidR="003C4AB0" w:rsidRDefault="003C4AB0" w:rsidP="003C4AB0">
      <w:pPr>
        <w:spacing w:line="360" w:lineRule="auto"/>
        <w:ind w:left="5900"/>
        <w:rPr>
          <w:sz w:val="28"/>
          <w:szCs w:val="28"/>
        </w:rPr>
      </w:pPr>
    </w:p>
    <w:p w:rsidR="003C4AB0" w:rsidRDefault="003C4AB0" w:rsidP="003C4AB0">
      <w:pPr>
        <w:spacing w:line="360" w:lineRule="auto"/>
        <w:jc w:val="center"/>
        <w:rPr>
          <w:sz w:val="28"/>
          <w:szCs w:val="28"/>
        </w:rPr>
      </w:pP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проектирования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Большекитякского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муниципального района Кировской области</w:t>
      </w:r>
    </w:p>
    <w:p w:rsidR="003C4AB0" w:rsidRDefault="003C4AB0" w:rsidP="003C4AB0">
      <w:pPr>
        <w:spacing w:line="360" w:lineRule="auto"/>
        <w:ind w:firstLine="540"/>
        <w:rPr>
          <w:b/>
          <w:sz w:val="28"/>
          <w:szCs w:val="28"/>
        </w:rPr>
      </w:pPr>
    </w:p>
    <w:p w:rsidR="003C4AB0" w:rsidRDefault="003C4AB0" w:rsidP="003C4AB0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</w:t>
      </w:r>
    </w:p>
    <w:p w:rsidR="003C4AB0" w:rsidRDefault="003C4AB0" w:rsidP="003C4AB0">
      <w:pPr>
        <w:pStyle w:val="1"/>
        <w:spacing w:after="0" w:line="360" w:lineRule="auto"/>
        <w:rPr>
          <w:szCs w:val="28"/>
        </w:rPr>
      </w:pPr>
    </w:p>
    <w:p w:rsidR="003C4AB0" w:rsidRDefault="003C4AB0" w:rsidP="003C4AB0">
      <w:pPr>
        <w:pStyle w:val="1"/>
        <w:spacing w:after="0" w:line="360" w:lineRule="auto"/>
      </w:pPr>
      <w:r>
        <w:rPr>
          <w:szCs w:val="28"/>
        </w:rPr>
        <w:t xml:space="preserve">1.1. Местные нормативы градостроительного проектирования  </w:t>
      </w:r>
      <w:proofErr w:type="spellStart"/>
      <w:r>
        <w:rPr>
          <w:szCs w:val="28"/>
        </w:rPr>
        <w:t>Большекитякского</w:t>
      </w:r>
      <w:proofErr w:type="spellEnd"/>
      <w:r>
        <w:rPr>
          <w:szCs w:val="28"/>
        </w:rPr>
        <w:t xml:space="preserve"> сельского поселения муниципального района Кировской области (далее – местные нормативы) подготовлены в соответствии с требованиями </w:t>
      </w:r>
      <w:r>
        <w:t>статьи 29.4 Градостроительного кодекса Российской Федерации, статьи 10</w:t>
      </w:r>
      <w:r>
        <w:rPr>
          <w:szCs w:val="28"/>
          <w:vertAlign w:val="superscript"/>
        </w:rPr>
        <w:t>2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3C4AB0" w:rsidRDefault="003C4AB0" w:rsidP="003C4AB0">
      <w:pPr>
        <w:spacing w:line="360" w:lineRule="auto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области, населения муниципального образования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Местные нормативы включают в себя следующие разделы: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4" w:history="1">
        <w:r>
          <w:rPr>
            <w:rStyle w:val="a3"/>
            <w:szCs w:val="28"/>
          </w:rPr>
          <w:t>4</w:t>
        </w:r>
      </w:hyperlink>
      <w:r>
        <w:rPr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области).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муниципального района Кировской области, а также внесению в него изменений.</w:t>
      </w:r>
    </w:p>
    <w:p w:rsidR="003C4AB0" w:rsidRDefault="003C4AB0" w:rsidP="003C4AB0">
      <w:pPr>
        <w:spacing w:line="360" w:lineRule="auto"/>
        <w:ind w:firstLine="700"/>
        <w:jc w:val="both"/>
        <w:outlineLvl w:val="0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Основная      часть.      Расчетные       показатели        нормативов 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градостроительного    проектирования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Расчетные     показатели    минимально   допустимого    уровня 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показатели  максимально  допустимого  уровня  </w:t>
      </w:r>
      <w:proofErr w:type="spellStart"/>
      <w:r>
        <w:rPr>
          <w:b/>
          <w:sz w:val="28"/>
          <w:szCs w:val="28"/>
        </w:rPr>
        <w:t>территориаль</w:t>
      </w:r>
      <w:proofErr w:type="spellEnd"/>
      <w:r>
        <w:rPr>
          <w:b/>
          <w:sz w:val="28"/>
          <w:szCs w:val="28"/>
        </w:rPr>
        <w:t>-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ной доступности таких объектов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Расчетные  показатели  минимально допустимого уровня обеспеченности объектами в области транспорта и расчетные показатели </w:t>
      </w:r>
      <w:r>
        <w:rPr>
          <w:sz w:val="28"/>
          <w:szCs w:val="28"/>
        </w:rPr>
        <w:lastRenderedPageBreak/>
        <w:t>максимально  допустимого уровня территориальной доступности таких объектов следует принимать в соответствии с таблицей 1.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778"/>
        <w:gridCol w:w="3346"/>
        <w:gridCol w:w="2426"/>
      </w:tblGrid>
      <w:tr w:rsidR="003C4AB0" w:rsidTr="003C4AB0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Объект,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3C4AB0" w:rsidTr="003C4AB0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AB0" w:rsidRDefault="003C4AB0">
            <w:pPr>
              <w:autoSpaceDE w:val="0"/>
              <w:autoSpaceDN w:val="0"/>
              <w:adjustRightInd w:val="0"/>
              <w:jc w:val="center"/>
            </w:pPr>
            <w: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</w:tbl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3C4AB0" w:rsidRDefault="003C4AB0" w:rsidP="003C4AB0">
      <w:pPr>
        <w:autoSpaceDE w:val="0"/>
        <w:autoSpaceDN w:val="0"/>
        <w:adjustRightInd w:val="0"/>
        <w:spacing w:line="440" w:lineRule="exact"/>
        <w:jc w:val="both"/>
        <w:rPr>
          <w:b/>
          <w:sz w:val="28"/>
          <w:szCs w:val="28"/>
        </w:rPr>
      </w:pPr>
      <w:r>
        <w:rPr>
          <w:spacing w:val="-24"/>
          <w:sz w:val="28"/>
          <w:szCs w:val="28"/>
        </w:rPr>
        <w:tab/>
      </w:r>
      <w:r>
        <w:rPr>
          <w:b/>
          <w:sz w:val="28"/>
          <w:szCs w:val="28"/>
        </w:rPr>
        <w:t xml:space="preserve">2.2.  Расчетные     показатели     минимально    допустимого  уровня 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обеспеченности объектами в  области  физической  культуры и 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спорта  и   расчетные   показатели   максимально  допустимого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уровня   территориальной   доступности   таких   объектов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00"/>
        <w:gridCol w:w="2600"/>
        <w:gridCol w:w="3000"/>
      </w:tblGrid>
      <w:tr w:rsidR="003C4AB0" w:rsidTr="003C4AB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Учреждение, объект,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:rsidR="003C4AB0" w:rsidTr="003C4AB0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t>500 метров</w:t>
              </w:r>
            </w:smartTag>
          </w:p>
        </w:tc>
      </w:tr>
      <w:tr w:rsidR="003C4AB0" w:rsidTr="003C4AB0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autoSpaceDE w:val="0"/>
              <w:autoSpaceDN w:val="0"/>
              <w:adjustRightInd w:val="0"/>
              <w:jc w:val="both"/>
            </w:pPr>
            <w:r>
              <w:t xml:space="preserve">Спортивные залы общего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  <w:r>
              <w:t xml:space="preserve"> </w:t>
            </w:r>
          </w:p>
        </w:tc>
      </w:tr>
      <w:tr w:rsidR="003C4AB0" w:rsidTr="003C4AB0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i/>
                </w:rPr>
                <w:t>2,0 км</w:t>
              </w:r>
            </w:smartTag>
          </w:p>
        </w:tc>
      </w:tr>
    </w:tbl>
    <w:p w:rsidR="003C4AB0" w:rsidRDefault="003C4AB0" w:rsidP="003C4AB0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1. Комплексы физкультурно-оздоровительных площадок предусматриваются в каждом поселении. 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Доступность физкультурно-спортивных сооружений городского значения не должна превышать 30 минут. 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:rsidR="00283AF6" w:rsidRDefault="00283AF6" w:rsidP="00283AF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Расчетные     показатели    минимально   допустимого    уровня </w:t>
      </w:r>
    </w:p>
    <w:p w:rsidR="00283AF6" w:rsidRDefault="00283AF6" w:rsidP="00283A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обеспеченности объектами  в области  улиц и дорог  расчетные </w:t>
      </w:r>
    </w:p>
    <w:p w:rsidR="00283AF6" w:rsidRDefault="00283AF6" w:rsidP="00283A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 максимально  допустимого  уровня  территориальной доступности таких объектов</w:t>
      </w:r>
    </w:p>
    <w:p w:rsidR="00283AF6" w:rsidRDefault="00283AF6" w:rsidP="00283AF6">
      <w:pPr>
        <w:widowControl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, а при условии применения </w:t>
      </w:r>
      <w:proofErr w:type="spellStart"/>
      <w:r>
        <w:rPr>
          <w:sz w:val="28"/>
          <w:szCs w:val="28"/>
        </w:rPr>
        <w:t>шумозащитных</w:t>
      </w:r>
      <w:proofErr w:type="spellEnd"/>
      <w:r>
        <w:rPr>
          <w:sz w:val="28"/>
          <w:szCs w:val="28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>.</w:t>
      </w:r>
    </w:p>
    <w:p w:rsidR="00283AF6" w:rsidRDefault="00283AF6" w:rsidP="00283A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>, пригодную для проезда пожарных машин.</w:t>
      </w:r>
    </w:p>
    <w:p w:rsidR="00283AF6" w:rsidRDefault="00283AF6" w:rsidP="00283A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>
          <w:rPr>
            <w:sz w:val="28"/>
            <w:szCs w:val="28"/>
          </w:rPr>
          <w:t>16 м</w:t>
        </w:r>
      </w:smartTag>
      <w:r>
        <w:rPr>
          <w:sz w:val="28"/>
          <w:szCs w:val="28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Расчетные параметры улиц и дорог следует принимать по таблице 3.</w:t>
      </w:r>
    </w:p>
    <w:p w:rsidR="00283AF6" w:rsidRDefault="00283AF6" w:rsidP="00283AF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660"/>
        <w:gridCol w:w="1283"/>
        <w:gridCol w:w="1324"/>
        <w:gridCol w:w="1031"/>
        <w:gridCol w:w="1606"/>
      </w:tblGrid>
      <w:tr w:rsidR="00283AF6" w:rsidTr="00283AF6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Категория сельских улиц и дорог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назначение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Расчетная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скорость</w:t>
            </w:r>
          </w:p>
          <w:p w:rsidR="00283AF6" w:rsidRDefault="00283AF6">
            <w:pPr>
              <w:widowControl w:val="0"/>
              <w:spacing w:line="276" w:lineRule="auto"/>
              <w:ind w:right="-8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движения,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км/ч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Ширина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полосы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движения, 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Число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полос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движе</w:t>
            </w:r>
            <w:proofErr w:type="spellEnd"/>
            <w:r>
              <w:rPr>
                <w:sz w:val="25"/>
                <w:szCs w:val="25"/>
              </w:rPr>
              <w:t>-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Ширина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пешеходной части тротуара, м</w:t>
            </w:r>
          </w:p>
        </w:tc>
      </w:tr>
      <w:tr w:rsidR="00283AF6" w:rsidTr="00283AF6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Поселковая дорога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сельского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поселения с внешними дорогами общей сети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—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Главная улица 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жилых территорий с общественным центром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2—3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1,5—2,25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Улица в жилой застройке: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основная 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Связь внутри жилых территорий и с главной улицей по направлениям с интенсивным </w:t>
            </w:r>
            <w:r>
              <w:rPr>
                <w:sz w:val="25"/>
                <w:szCs w:val="25"/>
              </w:rPr>
              <w:lastRenderedPageBreak/>
              <w:t>движением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1,0—1,5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второстепенная (переулок)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между основными жилыми улицами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2,75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проезд 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жилых домов, расположенных в глубине квартала, с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улицей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2,75—3,0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0—1,0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Хозяйственный проезд,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скотопрогон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—</w:t>
            </w:r>
          </w:p>
        </w:tc>
      </w:tr>
    </w:tbl>
    <w:p w:rsidR="00283AF6" w:rsidRDefault="00283AF6" w:rsidP="00283AF6">
      <w:pPr>
        <w:widowControl w:val="0"/>
        <w:ind w:firstLine="720"/>
        <w:jc w:val="both"/>
        <w:rPr>
          <w:b/>
          <w:sz w:val="28"/>
          <w:szCs w:val="28"/>
        </w:rPr>
      </w:pPr>
    </w:p>
    <w:p w:rsidR="00283AF6" w:rsidRDefault="00283AF6" w:rsidP="00283AF6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:rsidR="00283AF6" w:rsidRDefault="00283AF6" w:rsidP="00283AF6">
      <w:pPr>
        <w:widowControl w:val="0"/>
        <w:jc w:val="right"/>
        <w:rPr>
          <w:sz w:val="25"/>
          <w:szCs w:val="25"/>
        </w:rPr>
      </w:pPr>
      <w:r>
        <w:rPr>
          <w:sz w:val="25"/>
          <w:szCs w:val="25"/>
        </w:rPr>
        <w:t>Таблица 4</w:t>
      </w: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93"/>
        <w:gridCol w:w="2340"/>
        <w:gridCol w:w="3420"/>
      </w:tblGrid>
      <w:tr w:rsidR="00283AF6" w:rsidTr="00283AF6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Минимально допустимый уровень обеспеченности объектами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Максимально допустимый уровень территориальной доступности объектов</w:t>
            </w:r>
          </w:p>
        </w:tc>
      </w:tr>
      <w:tr w:rsidR="00283AF6" w:rsidTr="00283AF6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283AF6" w:rsidTr="00283AF6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AF6" w:rsidRDefault="00283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283AF6" w:rsidTr="00283AF6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pacing w:val="-16"/>
                <w:sz w:val="25"/>
                <w:szCs w:val="25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283AF6" w:rsidTr="00283AF6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AF6" w:rsidRDefault="00283AF6">
            <w:pPr>
              <w:rPr>
                <w:sz w:val="25"/>
                <w:szCs w:val="25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5"/>
                  <w:szCs w:val="25"/>
                </w:rPr>
                <w:t xml:space="preserve">2 </w:t>
              </w:r>
              <w:proofErr w:type="gramStart"/>
              <w:r>
                <w:rPr>
                  <w:sz w:val="25"/>
                  <w:szCs w:val="25"/>
                </w:rPr>
                <w:t>км</w:t>
              </w:r>
            </w:smartTag>
            <w:r>
              <w:rPr>
                <w:sz w:val="25"/>
                <w:szCs w:val="25"/>
              </w:rPr>
              <w:t xml:space="preserve">  пешеходной</w:t>
            </w:r>
            <w:proofErr w:type="gramEnd"/>
            <w:r>
              <w:rPr>
                <w:sz w:val="25"/>
                <w:szCs w:val="25"/>
              </w:rPr>
              <w:t xml:space="preserve"> и </w:t>
            </w:r>
          </w:p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8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5"/>
                  <w:szCs w:val="25"/>
                </w:rPr>
                <w:t>10 км</w:t>
              </w:r>
            </w:smartTag>
            <w:r>
              <w:rPr>
                <w:sz w:val="25"/>
                <w:szCs w:val="25"/>
              </w:rPr>
              <w:t xml:space="preserve"> транспортной доступности*</w:t>
            </w:r>
          </w:p>
        </w:tc>
      </w:tr>
      <w:tr w:rsidR="00283AF6" w:rsidTr="00283AF6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</w:p>
        </w:tc>
      </w:tr>
      <w:tr w:rsidR="00283AF6" w:rsidTr="00283AF6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AF6" w:rsidRDefault="00283AF6">
            <w:pPr>
              <w:rPr>
                <w:sz w:val="25"/>
                <w:szCs w:val="25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98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5"/>
                  <w:szCs w:val="25"/>
                </w:rPr>
                <w:t>2 км</w:t>
              </w:r>
            </w:smartTag>
            <w:r>
              <w:rPr>
                <w:sz w:val="25"/>
                <w:szCs w:val="25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5"/>
                  <w:szCs w:val="25"/>
                </w:rPr>
                <w:t>10 км</w:t>
              </w:r>
            </w:smartTag>
            <w:r>
              <w:rPr>
                <w:sz w:val="25"/>
                <w:szCs w:val="25"/>
              </w:rPr>
              <w:t xml:space="preserve"> транспортной доступности;</w:t>
            </w:r>
          </w:p>
          <w:p w:rsidR="00283AF6" w:rsidRDefault="00283AF6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5"/>
                  <w:szCs w:val="25"/>
                </w:rPr>
                <w:t>4 км</w:t>
              </w:r>
            </w:smartTag>
            <w:r>
              <w:rPr>
                <w:sz w:val="25"/>
                <w:szCs w:val="25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5"/>
                  <w:szCs w:val="25"/>
                </w:rPr>
                <w:t>10 км</w:t>
              </w:r>
            </w:smartTag>
            <w:r>
              <w:rPr>
                <w:sz w:val="25"/>
                <w:szCs w:val="25"/>
              </w:rPr>
              <w:t xml:space="preserve">  транспортной доступности*</w:t>
            </w:r>
          </w:p>
        </w:tc>
      </w:tr>
      <w:tr w:rsidR="00283AF6" w:rsidTr="00283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Школы-интернаты,</w:t>
            </w:r>
          </w:p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5"/>
                  <w:szCs w:val="25"/>
                </w:rPr>
                <w:t>30 км</w:t>
              </w:r>
            </w:smartTag>
          </w:p>
        </w:tc>
      </w:tr>
      <w:tr w:rsidR="00283AF6" w:rsidTr="00283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Межшкольный  учебно-производственный комбинат, 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F6" w:rsidRDefault="00283AF6">
            <w:pPr>
              <w:widowControl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15,8</w:t>
            </w:r>
          </w:p>
          <w:p w:rsidR="00283AF6" w:rsidRDefault="00283AF6">
            <w:pPr>
              <w:widowControl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5"/>
                  <w:szCs w:val="25"/>
                </w:rPr>
                <w:t>30 км</w:t>
              </w:r>
            </w:smartTag>
            <w:r>
              <w:rPr>
                <w:sz w:val="25"/>
                <w:szCs w:val="25"/>
              </w:rPr>
              <w:t xml:space="preserve"> транспортной доступности</w:t>
            </w:r>
          </w:p>
        </w:tc>
      </w:tr>
      <w:tr w:rsidR="00283AF6" w:rsidTr="00283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Внешкольные  учреждения, мест на 1 тыс.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98,5 мест, в том числе:</w:t>
            </w:r>
          </w:p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станция юных туристов –4;</w:t>
            </w:r>
          </w:p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спортивная школа – 20;</w:t>
            </w:r>
          </w:p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5"/>
                  <w:szCs w:val="25"/>
                </w:rPr>
                <w:t>30 км</w:t>
              </w:r>
            </w:smartTag>
          </w:p>
        </w:tc>
      </w:tr>
    </w:tbl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 к таблице 4: 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 Ж СП 42.13330.2011.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Размеры земельных участков организаций в области образования, не указанных в приложении Ж СП 42.13330.2011, следует принимать по заданию на проектирование.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Участки детских дошкольных организаций не должны примыкать непосредственно к магистральным улицам.»</w:t>
      </w:r>
    </w:p>
    <w:p w:rsidR="003C4AB0" w:rsidRDefault="003C4AB0" w:rsidP="003C4AB0">
      <w:pPr>
        <w:spacing w:line="360" w:lineRule="auto"/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:rsidR="003C4AB0" w:rsidRDefault="00283AF6" w:rsidP="003C4AB0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3C4AB0">
        <w:rPr>
          <w:b/>
          <w:sz w:val="28"/>
          <w:szCs w:val="28"/>
        </w:rPr>
        <w:t xml:space="preserve">. Минимальные расчетные показатели для объектов в иных </w:t>
      </w:r>
      <w:r w:rsidR="003C4AB0">
        <w:rPr>
          <w:b/>
          <w:sz w:val="28"/>
          <w:szCs w:val="28"/>
        </w:rPr>
        <w:lastRenderedPageBreak/>
        <w:t>областях и расчетные показатели максимально допустимого уровня территориальной доступности таких объектов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0"/>
        <w:gridCol w:w="3074"/>
        <w:gridCol w:w="2426"/>
      </w:tblGrid>
      <w:tr w:rsidR="003C4AB0" w:rsidTr="003C4AB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Объект,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3C4AB0" w:rsidTr="003C4AB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C4AB0" w:rsidTr="003C4AB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4AB0" w:rsidTr="003C4AB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5000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4AB0" w:rsidTr="003C4AB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B0" w:rsidRDefault="003C4AB0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4AB0" w:rsidTr="003C4AB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B0" w:rsidRDefault="003C4AB0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с. Большой </w:t>
            </w:r>
            <w:proofErr w:type="spellStart"/>
            <w:r>
              <w:t>Китяк</w:t>
            </w:r>
            <w:proofErr w:type="spellEnd"/>
          </w:p>
        </w:tc>
      </w:tr>
      <w:tr w:rsidR="003C4AB0" w:rsidTr="003C4AB0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4AB0" w:rsidTr="003C4AB0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  <w:tr w:rsidR="003C4AB0" w:rsidTr="003C4AB0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 xml:space="preserve">Кладбище </w:t>
            </w:r>
            <w:proofErr w:type="spellStart"/>
            <w:r>
              <w:t>урновых</w:t>
            </w:r>
            <w:proofErr w:type="spellEnd"/>
            <w:r>
              <w:t xml:space="preserve">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</w:tbl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</w:t>
      </w:r>
      <w:bookmarkStart w:id="1" w:name="_GoBack"/>
      <w:bookmarkEnd w:id="1"/>
      <w:r w:rsidR="00C517CD">
        <w:rPr>
          <w:sz w:val="28"/>
          <w:szCs w:val="28"/>
        </w:rPr>
        <w:t>с приложением</w:t>
      </w:r>
      <w:r>
        <w:rPr>
          <w:sz w:val="28"/>
          <w:szCs w:val="28"/>
        </w:rPr>
        <w:t xml:space="preserve"> Ж СП 42.13330.2011 или заданием на проектирование таких объектов. </w:t>
      </w:r>
    </w:p>
    <w:p w:rsidR="003C4AB0" w:rsidRDefault="003C4AB0" w:rsidP="003C4AB0">
      <w:pPr>
        <w:autoSpaceDE w:val="0"/>
        <w:autoSpaceDN w:val="0"/>
        <w:adjustRightInd w:val="0"/>
        <w:ind w:firstLine="539"/>
        <w:jc w:val="both"/>
        <w:rPr>
          <w:b/>
          <w:spacing w:val="-2"/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  <w:sz w:val="28"/>
          <w:szCs w:val="28"/>
        </w:rPr>
      </w:pPr>
    </w:p>
    <w:p w:rsidR="003C4AB0" w:rsidRDefault="003C4AB0" w:rsidP="003C4AB0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городского поселения с учетом: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социально-демографического состава и плотности населения на территории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1210 чел.;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 и программ комплексного социально-экономического развития муниципального образования 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>поселение ,</w:t>
      </w:r>
      <w:proofErr w:type="gramEnd"/>
      <w:r>
        <w:rPr>
          <w:sz w:val="28"/>
          <w:szCs w:val="28"/>
        </w:rPr>
        <w:t xml:space="preserve"> утвержденного решением </w:t>
      </w:r>
      <w:proofErr w:type="spellStart"/>
      <w:r>
        <w:rPr>
          <w:sz w:val="28"/>
          <w:szCs w:val="28"/>
        </w:rPr>
        <w:t>Большекитякской</w:t>
      </w:r>
      <w:proofErr w:type="spellEnd"/>
      <w:r>
        <w:rPr>
          <w:sz w:val="28"/>
          <w:szCs w:val="28"/>
        </w:rPr>
        <w:t xml:space="preserve"> сельской Думы от 03.10.2011 № 25/1.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заинтересованных лиц;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</w:t>
      </w:r>
      <w:proofErr w:type="spellStart"/>
      <w:r>
        <w:rPr>
          <w:spacing w:val="-8"/>
          <w:sz w:val="28"/>
          <w:szCs w:val="28"/>
        </w:rPr>
        <w:t>Малмыжского</w:t>
      </w:r>
      <w:proofErr w:type="spellEnd"/>
      <w:r>
        <w:rPr>
          <w:spacing w:val="-8"/>
          <w:sz w:val="28"/>
          <w:szCs w:val="28"/>
        </w:rPr>
        <w:t xml:space="preserve"> муниципального района Кировской области, утверждённой решением  </w:t>
      </w:r>
      <w:proofErr w:type="spellStart"/>
      <w:r>
        <w:rPr>
          <w:spacing w:val="-8"/>
          <w:sz w:val="28"/>
          <w:szCs w:val="28"/>
        </w:rPr>
        <w:t>Малмыжской</w:t>
      </w:r>
      <w:proofErr w:type="spellEnd"/>
      <w:r>
        <w:rPr>
          <w:spacing w:val="-8"/>
          <w:sz w:val="28"/>
          <w:szCs w:val="28"/>
        </w:rPr>
        <w:t xml:space="preserve"> районной Думы от  22.06.2011 № 11/6;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генерального плана муниципального образования  </w:t>
      </w:r>
      <w:proofErr w:type="spellStart"/>
      <w:r>
        <w:rPr>
          <w:spacing w:val="-8"/>
          <w:sz w:val="28"/>
          <w:szCs w:val="28"/>
        </w:rPr>
        <w:t>Большекитякское</w:t>
      </w:r>
      <w:proofErr w:type="spellEnd"/>
      <w:r>
        <w:rPr>
          <w:spacing w:val="-8"/>
          <w:sz w:val="28"/>
          <w:szCs w:val="28"/>
        </w:rPr>
        <w:t xml:space="preserve"> сельское поселение </w:t>
      </w:r>
      <w:proofErr w:type="spellStart"/>
      <w:r>
        <w:rPr>
          <w:spacing w:val="-8"/>
          <w:sz w:val="28"/>
          <w:szCs w:val="28"/>
        </w:rPr>
        <w:t>Малмыжского</w:t>
      </w:r>
      <w:proofErr w:type="spellEnd"/>
      <w:r>
        <w:rPr>
          <w:spacing w:val="-8"/>
          <w:sz w:val="28"/>
          <w:szCs w:val="28"/>
        </w:rPr>
        <w:t xml:space="preserve"> муниципального района Кировской области, утверждённого решением  </w:t>
      </w:r>
      <w:proofErr w:type="spellStart"/>
      <w:r>
        <w:rPr>
          <w:spacing w:val="-8"/>
          <w:sz w:val="28"/>
          <w:szCs w:val="28"/>
        </w:rPr>
        <w:t>Большекитякской</w:t>
      </w:r>
      <w:proofErr w:type="spellEnd"/>
      <w:r>
        <w:rPr>
          <w:spacing w:val="-8"/>
          <w:sz w:val="28"/>
          <w:szCs w:val="28"/>
        </w:rPr>
        <w:t xml:space="preserve"> сельской  Думы от  15.12.2015 №  27.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направлены на повышение благоприятных условий жизни населения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области, устойчивое развитие его территорий.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 транспорта: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. пешеходный </w:t>
      </w:r>
      <w:proofErr w:type="gramStart"/>
      <w:r>
        <w:rPr>
          <w:sz w:val="28"/>
          <w:szCs w:val="28"/>
        </w:rPr>
        <w:t xml:space="preserve">и 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</w:t>
        </w:r>
        <w:proofErr w:type="gramEnd"/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 транспортный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>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Не нормируется.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159"/>
      <w:bookmarkEnd w:id="2"/>
      <w:r>
        <w:t xml:space="preserve">                                                </w:t>
      </w:r>
    </w:p>
    <w:p w:rsidR="003C4AB0" w:rsidRDefault="003C4AB0" w:rsidP="003C4AB0"/>
    <w:p w:rsidR="001B1404" w:rsidRDefault="001B1404"/>
    <w:sectPr w:rsidR="001B1404" w:rsidSect="001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F13"/>
    <w:rsid w:val="001B1404"/>
    <w:rsid w:val="00283AF6"/>
    <w:rsid w:val="003C4AB0"/>
    <w:rsid w:val="00493F13"/>
    <w:rsid w:val="00637FC9"/>
    <w:rsid w:val="007E30C0"/>
    <w:rsid w:val="00C517CD"/>
    <w:rsid w:val="00C85EA3"/>
    <w:rsid w:val="00CD604C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D040BB-B670-4ADD-8100-5E4C415B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AB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3C4AB0"/>
    <w:rPr>
      <w:color w:val="0000FF"/>
      <w:u w:val="single"/>
    </w:rPr>
  </w:style>
  <w:style w:type="paragraph" w:customStyle="1" w:styleId="1">
    <w:name w:val="Абзац1"/>
    <w:basedOn w:val="a"/>
    <w:rsid w:val="003C4AB0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3C4A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2022-02-25T08:31:00Z</cp:lastPrinted>
  <dcterms:created xsi:type="dcterms:W3CDTF">2022-02-25T06:52:00Z</dcterms:created>
  <dcterms:modified xsi:type="dcterms:W3CDTF">2023-06-11T06:49:00Z</dcterms:modified>
</cp:coreProperties>
</file>